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46" w:type="dxa"/>
        <w:jc w:val="left"/>
        <w:tblInd w:w="0" w:type="dxa"/>
        <w:tblLayout w:type="fixed"/>
        <w:tblCellMar>
          <w:top w:w="55" w:type="dxa"/>
          <w:left w:w="55" w:type="dxa"/>
          <w:bottom w:w="55" w:type="dxa"/>
          <w:right w:w="55" w:type="dxa"/>
        </w:tblCellMar>
      </w:tblPr>
      <w:tblGrid>
        <w:gridCol w:w="4873"/>
        <w:gridCol w:w="4872"/>
      </w:tblGrid>
      <w:tr>
        <w:trPr>
          <w:trHeight w:val="1623" w:hRule="atLeast"/>
        </w:trPr>
        <w:tc>
          <w:tcPr>
            <w:tcW w:w="4873" w:type="dxa"/>
            <w:tcBorders>
              <w:top w:val="single" w:sz="2" w:space="0" w:color="000000"/>
              <w:left w:val="single" w:sz="2" w:space="0" w:color="000000"/>
              <w:bottom w:val="single" w:sz="2" w:space="0" w:color="000000"/>
            </w:tcBorders>
          </w:tcPr>
          <w:p>
            <w:pPr>
              <w:pStyle w:val="LOnormal"/>
              <w:widowControl w:val="false"/>
              <w:jc w:val="center"/>
              <w:rPr>
                <w:b/>
                <w:b/>
              </w:rPr>
            </w:pPr>
            <w:r>
              <w:rPr>
                <w:b/>
              </w:rPr>
            </w:r>
          </w:p>
          <w:p>
            <w:pPr>
              <w:pStyle w:val="LOnormal"/>
              <w:widowControl w:val="false"/>
              <w:ind w:firstLine="6521"/>
              <w:jc w:val="both"/>
              <w:rPr>
                <w:sz w:val="20"/>
                <w:szCs w:val="20"/>
              </w:rPr>
            </w:pPr>
            <w:r>
              <w:rPr>
                <w:sz w:val="20"/>
                <w:szCs w:val="20"/>
              </w:rPr>
            </w:r>
          </w:p>
          <w:p>
            <w:pPr>
              <w:pStyle w:val="LOnormal"/>
              <w:widowControl w:val="false"/>
              <w:tabs>
                <w:tab w:val="clear" w:pos="720"/>
                <w:tab w:val="left" w:pos="993" w:leader="none"/>
              </w:tabs>
              <w:jc w:val="center"/>
              <w:rPr>
                <w:b/>
                <w:b/>
                <w:sz w:val="20"/>
                <w:szCs w:val="20"/>
              </w:rPr>
            </w:pPr>
            <w:r>
              <w:rPr>
                <w:b/>
                <w:sz w:val="20"/>
                <w:szCs w:val="20"/>
              </w:rPr>
              <w:t xml:space="preserve">Согласие на обработку персональных данных </w:t>
            </w:r>
          </w:p>
          <w:p>
            <w:pPr>
              <w:pStyle w:val="LOnormal"/>
              <w:widowControl w:val="false"/>
              <w:tabs>
                <w:tab w:val="clear" w:pos="720"/>
                <w:tab w:val="left" w:pos="993" w:leader="none"/>
              </w:tabs>
              <w:jc w:val="center"/>
              <w:rPr>
                <w:b/>
                <w:b/>
                <w:sz w:val="20"/>
                <w:szCs w:val="20"/>
              </w:rPr>
            </w:pPr>
            <w:r>
              <w:rPr>
                <w:b/>
                <w:sz w:val="20"/>
                <w:szCs w:val="20"/>
              </w:rPr>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Федерального закона от 27.07.2006  № 152-ФЗ  «О персональных данных», действуя свободно, своей волей и в своем интересе, даю добровольное, информированное, конкретное согласие федеральному государственному бюджетному образовательному учреждению высшего образования «Вятский государственный университет» (далее – ВятГУ), находящемуся по адресу: 610000, Кировская обл., г. Киров, ул. Московская, д.36, на сбор и обработку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автоматизированным способом, в том числе, с передачей персональных данных по информационно-телекоммуникационным сетям ВятГУ и по сети Интернет или без таковых: фамилия, имя, второе имя (при наличии), отчество (при наличии), контактный телефонный номер, адрес электронной почты (e-mail), программа(-ы) подготовительного факультета – в целях обеспечения взаимодействия между мной и ВятГУ, заключения договора на оказание образовательных услуг по подготовке к поступлению в ВятГУ, обеспечения рассылки информационных материалов, связанных с поступлением в ВятГУ.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Подтверждаю, что мне известны и понятны принципы и условия обработки моих персональных данных, предусмотренные Политикой обработки персональных данных в ВятГУ (далее – Политика обработки ПДн). С Политикой обработки ПДн согласен (согласна).</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Разрешаю ВятГУ поручать обработку моих персональных данных третьим лицам, а также передавать все вышеуказанные персональные данные третьим лицам для достижения целей, указанных в настоящем согласии.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В случае изменения моих персональных данных, указанных в настоящем согласии, обязуюсь сообщать об этом в ВятГУ в десятидневный срок.</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Настоящее согласие действует со дня его дачи до дня отзыва в письменной форме, направленного на почтовый адрес ВятГУ, либо до момента уничтожения или обезличивания персональных данных.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Я уведомлен(а) о том, что в случае получения моего письменного заявления об отзыве настоящего согласия на обработку персональных данных, ВятГУ с целью выполнения требований законодательства Российской Федерации вправе продолжить обработку моих персональных данных в течение срока и в объеме, установленных законодательством.</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val="false"/>
              <w:ind w:left="709" w:hanging="0"/>
              <w:jc w:val="both"/>
              <w:rPr>
                <w:b/>
                <w:b/>
                <w:sz w:val="22"/>
                <w:szCs w:val="22"/>
              </w:rPr>
            </w:pPr>
            <w:r>
              <w:rPr>
                <w:b/>
                <w:sz w:val="22"/>
                <w:szCs w:val="22"/>
              </w:rPr>
            </w:r>
          </w:p>
          <w:p>
            <w:pPr>
              <w:pStyle w:val="LOnormal"/>
              <w:widowControl w:val="false"/>
              <w:jc w:val="both"/>
              <w:rPr>
                <w:sz w:val="22"/>
                <w:szCs w:val="22"/>
              </w:rPr>
            </w:pPr>
            <w:r>
              <w:rPr>
                <w:sz w:val="22"/>
                <w:szCs w:val="22"/>
              </w:rPr>
            </w:r>
          </w:p>
          <w:p>
            <w:pPr>
              <w:pStyle w:val="LOnormal"/>
              <w:widowControl w:val="false"/>
              <w:tabs>
                <w:tab w:val="clear" w:pos="720"/>
                <w:tab w:val="left" w:pos="1276" w:leader="none"/>
              </w:tabs>
              <w:ind w:firstLine="5812"/>
              <w:jc w:val="both"/>
              <w:rPr>
                <w:sz w:val="22"/>
                <w:szCs w:val="22"/>
              </w:rPr>
            </w:pPr>
            <w:r>
              <w:rPr>
                <w:sz w:val="22"/>
                <w:szCs w:val="22"/>
              </w:rPr>
            </w:r>
          </w:p>
          <w:p>
            <w:pPr>
              <w:pStyle w:val="LOnormal"/>
              <w:widowControl w:val="false"/>
              <w:tabs>
                <w:tab w:val="clear" w:pos="720"/>
                <w:tab w:val="left" w:pos="1276" w:leader="none"/>
              </w:tabs>
              <w:ind w:firstLine="5812"/>
              <w:jc w:val="both"/>
              <w:rPr>
                <w:sz w:val="22"/>
                <w:szCs w:val="22"/>
              </w:rPr>
            </w:pPr>
            <w:r>
              <w:rPr>
                <w:sz w:val="22"/>
                <w:szCs w:val="22"/>
              </w:rPr>
            </w:r>
          </w:p>
          <w:p>
            <w:pPr>
              <w:pStyle w:val="LOnormal"/>
              <w:widowControl w:val="false"/>
              <w:tabs>
                <w:tab w:val="clear" w:pos="720"/>
                <w:tab w:val="left" w:pos="1276" w:leader="none"/>
              </w:tabs>
              <w:ind w:firstLine="5812"/>
              <w:jc w:val="both"/>
              <w:rPr>
                <w:sz w:val="22"/>
                <w:szCs w:val="22"/>
              </w:rPr>
            </w:pPr>
            <w:r>
              <w:rPr>
                <w:sz w:val="22"/>
                <w:szCs w:val="22"/>
              </w:rPr>
            </w:r>
          </w:p>
          <w:p>
            <w:pPr>
              <w:pStyle w:val="LOnormal"/>
              <w:widowControl w:val="false"/>
              <w:jc w:val="center"/>
              <w:rPr>
                <w:b/>
                <w:b/>
                <w:sz w:val="22"/>
                <w:szCs w:val="22"/>
              </w:rPr>
            </w:pPr>
            <w:r>
              <w:rPr>
                <w:b/>
                <w:sz w:val="22"/>
                <w:szCs w:val="22"/>
              </w:rPr>
              <w:t xml:space="preserve">Согласие на обработку персональных данных </w:t>
            </w:r>
          </w:p>
          <w:p>
            <w:pPr>
              <w:pStyle w:val="LOnormal"/>
              <w:widowControl w:val="false"/>
              <w:jc w:val="center"/>
              <w:rPr>
                <w:b/>
                <w:b/>
                <w:sz w:val="22"/>
                <w:szCs w:val="22"/>
              </w:rPr>
            </w:pPr>
            <w:r>
              <w:rPr>
                <w:b/>
                <w:sz w:val="22"/>
                <w:szCs w:val="22"/>
              </w:rPr>
              <w:t xml:space="preserve">(от законного представителя субъекта) </w:t>
            </w:r>
          </w:p>
          <w:p>
            <w:pPr>
              <w:pStyle w:val="LOnormal"/>
              <w:widowControl w:val="false"/>
              <w:jc w:val="center"/>
              <w:rPr>
                <w:b/>
                <w:b/>
                <w:sz w:val="22"/>
                <w:szCs w:val="22"/>
              </w:rPr>
            </w:pPr>
            <w:r>
              <w:rPr>
                <w:b/>
                <w:sz w:val="22"/>
                <w:szCs w:val="22"/>
              </w:rPr>
            </w:r>
          </w:p>
          <w:p>
            <w:pPr>
              <w:pStyle w:val="LOnormal"/>
              <w:keepNext w:val="false"/>
              <w:keepLines w:val="false"/>
              <w:widowControl w:val="false"/>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В соответствии с Конвенцией о защите физических лиц при автоматизированной обработке персональных данных, ратифицированной Российской Федерацией Федеральным законом от 19.12.2005 N 160-ФЗ с заявлениями, статьями 6, 9 Федерального закона от 27.07.2006 № 152-ФЗ «О персональных данных», действуя свободно, своей волей и в интересах несовершеннолетнего, законным представителем которого я являюсь (далее – Представляемый), даю добровольное, информированное, конкретное согласие федеральному государственному бюджетному образовательному учреждению высшего образования «Вятский государственный университет» (далее – ВятГУ), находящемуся по адресу: 610000, Кировская обл., г. Киров, ул. Московская, д.36, на сбор и обработку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автоматизированным способом, в том числе, с передачей персональных данных по информационно-телекоммуникационным сетям ВятГУ и по сети Интернет или без таковых, следующих персональных данных Представляемого: фамилия, имя, второе имя (при наличии), отчество (при наличии), контактный телефонный номер, адрес электронной почты (e-mail), программа(-ы) подготовительного факультета – в целях обеспечения взаимодействия между Представляемым и ВятГУ, заключения договора на оказание образовательных услуг по подготовке Представляемого к поступлению в ВятГУ, обеспечения рассылки информационных материалов, связанных с поступлением в ВятГУ.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Подтверждаю, что мне известны и понятны принципы и условия обработки персональных данных Представляемого, предусмотренные Политикой обработки персональных данных в ВятГУ (далее – Политика обработки ПДн). С Политикой обработки ПДн согласен (согласна).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Разрешаю ВятГУ поручать обработку персональных данных Представляемого третьим лицам, а также передавать все вышеуказанные персональные данные третьим лицам для достижения целей, указанных в настоящем согласии.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В случае изменения персональных данных Представляемого, указанных в настоящем согласии, обязуюсь сообщать об этом в ВятГУ в десятидневный срок.</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Настоящее согласие действует со дня его дачи до дня отзыва в письменной форме, направленного на почтовый адрес ВятГУ, либо до момента уничтожения или обезличивания персональных данных. </w:t>
            </w:r>
          </w:p>
          <w:p>
            <w:pPr>
              <w:pStyle w:val="LOnormal"/>
              <w:keepNext w:val="false"/>
              <w:keepLines w:val="false"/>
              <w:widowControl w:val="false"/>
              <w:shd w:val="clear" w:fill="auto"/>
              <w:spacing w:lineRule="auto" w:line="240" w:before="0" w:after="0"/>
              <w:ind w:left="0" w:right="0" w:firstLine="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Я уведомлен(а) о том, что в случае получения моего письменного заявления об отзыве настоящего согласия на обработку персональных данных, ВятГУ с целью выполнения требований законодательства Российской Федерации вправе продолжить обработку персональных данных Представляемого в течение срока и в объеме, установленных законодательством.</w:t>
            </w:r>
          </w:p>
          <w:p>
            <w:pPr>
              <w:pStyle w:val="LOnormal"/>
              <w:keepNext w:val="false"/>
              <w:keepLines w:val="false"/>
              <w:widowControl w:val="false"/>
              <w:shd w:val="clear" w:fill="auto"/>
              <w:spacing w:lineRule="auto" w:line="240" w:before="0" w:after="0"/>
              <w:ind w:left="0" w:right="0" w:firstLine="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val="false"/>
              <w:ind w:left="709" w:hanging="0"/>
              <w:jc w:val="both"/>
              <w:rPr>
                <w:b/>
                <w:b/>
                <w:sz w:val="22"/>
                <w:szCs w:val="22"/>
              </w:rPr>
            </w:pPr>
            <w:r>
              <w:rPr>
                <w:b/>
                <w:sz w:val="22"/>
                <w:szCs w:val="22"/>
              </w:rPr>
            </w:r>
          </w:p>
          <w:p>
            <w:pPr>
              <w:pStyle w:val="LOnormal"/>
              <w:widowControl w:val="false"/>
              <w:tabs>
                <w:tab w:val="clear" w:pos="720"/>
                <w:tab w:val="left" w:pos="1276" w:leader="none"/>
              </w:tabs>
              <w:ind w:firstLine="5812"/>
              <w:jc w:val="both"/>
              <w:rPr>
                <w:sz w:val="20"/>
                <w:szCs w:val="20"/>
              </w:rPr>
            </w:pPr>
            <w:r>
              <w:rPr>
                <w:sz w:val="20"/>
                <w:szCs w:val="20"/>
              </w:rPr>
            </w:r>
          </w:p>
          <w:p>
            <w:pPr>
              <w:pStyle w:val="LOnormal"/>
              <w:widowControl w:val="false"/>
              <w:tabs>
                <w:tab w:val="clear" w:pos="720"/>
                <w:tab w:val="left" w:pos="993" w:leader="none"/>
              </w:tabs>
              <w:jc w:val="center"/>
              <w:rPr>
                <w:b/>
                <w:b/>
                <w:sz w:val="20"/>
                <w:szCs w:val="20"/>
              </w:rPr>
            </w:pPr>
            <w:r>
              <w:rPr>
                <w:b/>
                <w:sz w:val="20"/>
                <w:szCs w:val="20"/>
              </w:rPr>
            </w:r>
          </w:p>
          <w:p>
            <w:pPr>
              <w:pStyle w:val="LOnormal"/>
              <w:widowControl w:val="false"/>
              <w:tabs>
                <w:tab w:val="clear" w:pos="720"/>
                <w:tab w:val="left" w:pos="993" w:leader="none"/>
              </w:tabs>
              <w:jc w:val="center"/>
              <w:rPr>
                <w:b/>
                <w:b/>
                <w:sz w:val="20"/>
                <w:szCs w:val="20"/>
              </w:rPr>
            </w:pPr>
            <w:r>
              <w:rPr>
                <w:b/>
                <w:sz w:val="20"/>
                <w:szCs w:val="20"/>
              </w:rPr>
            </w:r>
          </w:p>
        </w:tc>
        <w:tc>
          <w:tcPr>
            <w:tcW w:w="4872" w:type="dxa"/>
            <w:tcBorders>
              <w:top w:val="single" w:sz="2" w:space="0" w:color="000000"/>
              <w:left w:val="single" w:sz="2" w:space="0" w:color="000000"/>
              <w:bottom w:val="single" w:sz="2" w:space="0" w:color="000000"/>
              <w:right w:val="single" w:sz="2" w:space="0" w:color="000000"/>
            </w:tcBorders>
          </w:tcPr>
          <w:p>
            <w:pPr>
              <w:pStyle w:val="TableContents"/>
              <w:widowControl w:val="false"/>
              <w:jc w:val="both"/>
              <w:rPr>
                <w:b/>
                <w:b/>
                <w:bCs/>
                <w:sz w:val="22"/>
                <w:szCs w:val="22"/>
              </w:rPr>
            </w:pPr>
            <w:r>
              <w:rPr>
                <w:b/>
                <w:bCs/>
                <w:sz w:val="22"/>
                <w:szCs w:val="22"/>
              </w:rPr>
            </w:r>
          </w:p>
          <w:p>
            <w:pPr>
              <w:pStyle w:val="TableContents"/>
              <w:widowControl w:val="false"/>
              <w:jc w:val="both"/>
              <w:rPr>
                <w:b/>
                <w:b/>
                <w:bCs/>
                <w:sz w:val="22"/>
                <w:szCs w:val="22"/>
              </w:rPr>
            </w:pPr>
            <w:r>
              <w:rPr>
                <w:b/>
                <w:bCs/>
                <w:sz w:val="22"/>
                <w:szCs w:val="22"/>
              </w:rPr>
            </w:r>
          </w:p>
          <w:p>
            <w:pPr>
              <w:pStyle w:val="TableContents"/>
              <w:widowControl w:val="false"/>
              <w:jc w:val="both"/>
              <w:rPr>
                <w:b/>
                <w:b/>
                <w:bCs/>
                <w:sz w:val="22"/>
                <w:szCs w:val="22"/>
              </w:rPr>
            </w:pPr>
            <w:r>
              <w:rPr>
                <w:b/>
                <w:bCs/>
                <w:sz w:val="22"/>
                <w:szCs w:val="22"/>
              </w:rPr>
              <w:t>Consent to the processing of personal data</w:t>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t>In accordance with the Convention for the Protection of Individuals with regard to Automated Processing of Personal Data, ratified by the Russian Federation by Federal Law of December 19, 2005 N 160-FZ with statements, Articles 6, 9 of the Federal Law of July 27, 2006 No. 152-FZ "On Personal Data", acting freely, by my own will and in my interest, I give voluntary, informed, specific consent to the federal state budgetary educational institution of higher education "Vyatka State University" (hereinafter - VyatSU), located at the address: 610000, Kirovskaya obl., Kirov, Moskovskaya st., 36, for the collection and processing (recording, systematization, accumulation, storage, clarification (update, change), extraction, use, transfer (provision, access), depersonalization, blocking, deletion, destruction) of my personal data in an automated way , including with the transfer of personal data via the information and telecommunication networks of VyatSU and via the Internet or without such systems: surname, first name, middle name (if any), patronymic (if any), contact phone number, e-mail address, the program (s) of the preparatory faculty - in order to ensure interaction between me and VyatSU, to conclude an agreement for the provision of educational services in preparation for admission to VyatSU, to ensure the distribution of information materials related to admission to VyatSU.</w:t>
            </w:r>
          </w:p>
          <w:p>
            <w:pPr>
              <w:pStyle w:val="TableContents"/>
              <w:widowControl w:val="false"/>
              <w:jc w:val="both"/>
              <w:rPr>
                <w:sz w:val="22"/>
                <w:szCs w:val="22"/>
              </w:rPr>
            </w:pPr>
            <w:r>
              <w:rPr>
                <w:sz w:val="22"/>
                <w:szCs w:val="22"/>
              </w:rPr>
              <w:t xml:space="preserve">I confirm that I know and understand the principles and conditions for processing my personal data, provided for by the Personal Data Processing Policy at VyatSU (hereinafter referred to as the PP - Processing Policy). I agree </w:t>
            </w:r>
            <w:r>
              <w:rPr>
                <w:rFonts w:eastAsia="Noto Serif CJK SC" w:cs="Noto Sans Devanagari"/>
                <w:color w:val="auto"/>
                <w:kern w:val="0"/>
                <w:sz w:val="22"/>
                <w:szCs w:val="22"/>
                <w:lang w:val="ru-RU" w:eastAsia="zh-CN" w:bidi="hi-IN"/>
              </w:rPr>
              <w:t>to</w:t>
            </w:r>
            <w:r>
              <w:rPr>
                <w:sz w:val="22"/>
                <w:szCs w:val="22"/>
              </w:rPr>
              <w:t xml:space="preserve"> the PP processing policy.</w:t>
            </w:r>
          </w:p>
          <w:p>
            <w:pPr>
              <w:pStyle w:val="TableContents"/>
              <w:widowControl w:val="false"/>
              <w:jc w:val="both"/>
              <w:rPr>
                <w:sz w:val="22"/>
                <w:szCs w:val="22"/>
              </w:rPr>
            </w:pPr>
            <w:r>
              <w:rPr>
                <w:sz w:val="22"/>
                <w:szCs w:val="22"/>
              </w:rPr>
              <w:t>I authorize VyatSU to entrust the processing of my personal data to third parties, as well as transfer all the above personal data to third parties to achieve the goals specified in this consent.</w:t>
            </w:r>
          </w:p>
          <w:p>
            <w:pPr>
              <w:pStyle w:val="TableContents"/>
              <w:widowControl w:val="false"/>
              <w:jc w:val="both"/>
              <w:rPr>
                <w:sz w:val="22"/>
                <w:szCs w:val="22"/>
              </w:rPr>
            </w:pPr>
            <w:r>
              <w:rPr>
                <w:sz w:val="22"/>
                <w:szCs w:val="22"/>
              </w:rPr>
              <w:t>In the event of a change in my personal data specified in this consent, I undertake to report this to VyatSU within ten days.</w:t>
            </w:r>
          </w:p>
          <w:p>
            <w:pPr>
              <w:pStyle w:val="TableContents"/>
              <w:widowControl w:val="false"/>
              <w:jc w:val="both"/>
              <w:rPr>
                <w:sz w:val="22"/>
                <w:szCs w:val="22"/>
              </w:rPr>
            </w:pPr>
            <w:r>
              <w:rPr>
                <w:sz w:val="22"/>
                <w:szCs w:val="22"/>
              </w:rPr>
              <w:t>This consent is valid from the day it is given until the day of revocation in writing sent to the postal address of VyatSU, or until the destruction or depersonalization of personal data.</w:t>
            </w:r>
          </w:p>
          <w:p>
            <w:pPr>
              <w:pStyle w:val="TableContents"/>
              <w:widowControl w:val="false"/>
              <w:jc w:val="both"/>
              <w:rPr>
                <w:sz w:val="22"/>
                <w:szCs w:val="22"/>
              </w:rPr>
            </w:pPr>
            <w:r>
              <w:rPr>
                <w:sz w:val="22"/>
                <w:szCs w:val="22"/>
              </w:rPr>
              <w:t>I am notified that in case of receiving my written application to revoke this consent to the processing of personal data, VyatSU, in order to comply with the requirements of the legislation of the Russian Federation, has the right to continue processing my personal data within the period and to the extent established by law.</w:t>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p>
            <w:pPr>
              <w:pStyle w:val="TableContents"/>
              <w:widowControl w:val="false"/>
              <w:jc w:val="both"/>
              <w:rPr>
                <w:b/>
                <w:b/>
                <w:bCs/>
                <w:sz w:val="22"/>
                <w:szCs w:val="22"/>
              </w:rPr>
            </w:pPr>
            <w:r>
              <w:rPr>
                <w:b/>
                <w:bCs/>
                <w:sz w:val="22"/>
                <w:szCs w:val="22"/>
              </w:rPr>
              <w:t>Consent to the processing of personal data</w:t>
            </w:r>
          </w:p>
          <w:p>
            <w:pPr>
              <w:pStyle w:val="TableContents"/>
              <w:widowControl w:val="false"/>
              <w:jc w:val="both"/>
              <w:rPr>
                <w:b/>
                <w:b/>
                <w:bCs/>
                <w:sz w:val="22"/>
                <w:szCs w:val="22"/>
              </w:rPr>
            </w:pPr>
            <w:r>
              <w:rPr>
                <w:b/>
                <w:bCs/>
                <w:sz w:val="22"/>
                <w:szCs w:val="22"/>
              </w:rPr>
              <w:t>(from the legal representative of the subject)</w:t>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t xml:space="preserve">In accordance with the Convention for the Protection of Individuals with regard to Automated Processing of Personal Data, ratified by the Russian Federation by Federal Law of December 19, 2005 N 160-FZ with statements, Articles 6, 9 of the Federal Law of July 27, 2006 No. 152-FZ "On Personal Data", acting freely, by my own will and in the interests of a minor, of which I am a legal representative (hereinafter - the represented), I give voluntary, informed, specific consent to the federal state budgetary educational institution of higher education "Vyatka State University" (hereinafter - VyatSU), located at: 610000, Kirov region, Kirov, </w:t>
            </w:r>
            <w:r>
              <w:rPr>
                <w:sz w:val="22"/>
                <w:szCs w:val="22"/>
              </w:rPr>
              <w:t xml:space="preserve">Moskovskaya </w:t>
            </w:r>
            <w:r>
              <w:rPr>
                <w:sz w:val="22"/>
                <w:szCs w:val="22"/>
              </w:rPr>
              <w:t xml:space="preserve">st., 36, for collection and processing (recording, systematization, accumulation, storage, clarification (update, change), extraction, use, transfer (provision, access), depersonalization, blocking, deletion, destruction) in an automated way, including the transfer of personal data via the information and telecommunication networks of VyatSU and via the Internet or without such </w:t>
            </w:r>
            <w:r>
              <w:rPr>
                <w:sz w:val="22"/>
                <w:szCs w:val="22"/>
              </w:rPr>
              <w:t>systems</w:t>
            </w:r>
            <w:r>
              <w:rPr>
                <w:sz w:val="22"/>
                <w:szCs w:val="22"/>
              </w:rPr>
              <w:t>, the following personal data of the Represen</w:t>
            </w:r>
            <w:r>
              <w:rPr>
                <w:sz w:val="22"/>
                <w:szCs w:val="22"/>
              </w:rPr>
              <w:t>t</w:t>
            </w:r>
            <w:r>
              <w:rPr>
                <w:rFonts w:eastAsia="Noto Serif CJK SC" w:cs="Noto Sans Devanagari"/>
                <w:color w:val="auto"/>
                <w:kern w:val="0"/>
                <w:sz w:val="22"/>
                <w:szCs w:val="22"/>
                <w:lang w:val="ru-RU" w:eastAsia="zh-CN" w:bidi="hi-IN"/>
              </w:rPr>
              <w:t>ed</w:t>
            </w:r>
            <w:r>
              <w:rPr>
                <w:sz w:val="22"/>
                <w:szCs w:val="22"/>
              </w:rPr>
              <w:t xml:space="preserve">: last name, first name, middle name (if any), patronymic (if any), contact phone number, e-mail address, the program (s) of the preparatory faculty - in order to ensure interaction between the </w:t>
            </w:r>
            <w:r>
              <w:rPr>
                <w:rFonts w:eastAsia="Noto Serif CJK SC" w:cs="Noto Sans Devanagari"/>
                <w:color w:val="auto"/>
                <w:kern w:val="0"/>
                <w:sz w:val="22"/>
                <w:szCs w:val="22"/>
                <w:lang w:val="ru-RU" w:eastAsia="zh-CN" w:bidi="hi-IN"/>
              </w:rPr>
              <w:t>Represented</w:t>
            </w:r>
            <w:r>
              <w:rPr>
                <w:sz w:val="22"/>
                <w:szCs w:val="22"/>
              </w:rPr>
              <w:t xml:space="preserve"> and VyatSU, conclude an agreement on the provision of educational services for the preparation of the </w:t>
            </w:r>
            <w:r>
              <w:rPr>
                <w:rFonts w:eastAsia="Noto Serif CJK SC" w:cs="Noto Sans Devanagari"/>
                <w:color w:val="auto"/>
                <w:kern w:val="0"/>
                <w:sz w:val="22"/>
                <w:szCs w:val="22"/>
                <w:lang w:val="ru-RU" w:eastAsia="zh-CN" w:bidi="hi-IN"/>
              </w:rPr>
              <w:t>Represented</w:t>
            </w:r>
            <w:r>
              <w:rPr>
                <w:sz w:val="22"/>
                <w:szCs w:val="22"/>
              </w:rPr>
              <w:t xml:space="preserve"> for admission to VyatSU, ensure the distribution of information materials related to admission to VyatSU.</w:t>
            </w:r>
          </w:p>
          <w:p>
            <w:pPr>
              <w:pStyle w:val="TableContents"/>
              <w:widowControl w:val="false"/>
              <w:jc w:val="both"/>
              <w:rPr>
                <w:sz w:val="22"/>
                <w:szCs w:val="22"/>
              </w:rPr>
            </w:pPr>
            <w:r>
              <w:rPr>
                <w:sz w:val="22"/>
                <w:szCs w:val="22"/>
              </w:rPr>
              <w:t xml:space="preserve">I confirm that I know and understand the principles and conditions for processing personal data of the </w:t>
            </w:r>
            <w:r>
              <w:rPr>
                <w:rFonts w:eastAsia="Noto Serif CJK SC" w:cs="Noto Sans Devanagari"/>
                <w:color w:val="auto"/>
                <w:kern w:val="0"/>
                <w:sz w:val="22"/>
                <w:szCs w:val="22"/>
                <w:lang w:val="ru-RU" w:eastAsia="zh-CN" w:bidi="hi-IN"/>
              </w:rPr>
              <w:t>Represented</w:t>
            </w:r>
            <w:r>
              <w:rPr>
                <w:sz w:val="22"/>
                <w:szCs w:val="22"/>
              </w:rPr>
              <w:t>, provided for by the Policy for processing personal data at VyatSU (</w:t>
            </w:r>
            <w:r>
              <w:rPr>
                <w:sz w:val="22"/>
                <w:szCs w:val="22"/>
              </w:rPr>
              <w:t xml:space="preserve">Personal Data Processing Policy, </w:t>
            </w:r>
            <w:r>
              <w:rPr>
                <w:sz w:val="22"/>
                <w:szCs w:val="22"/>
              </w:rPr>
              <w:t xml:space="preserve">hereinafter referred to as the </w:t>
            </w:r>
            <w:r>
              <w:rPr>
                <w:sz w:val="22"/>
                <w:szCs w:val="22"/>
              </w:rPr>
              <w:t xml:space="preserve">PD Processing </w:t>
            </w:r>
            <w:r>
              <w:rPr>
                <w:sz w:val="22"/>
                <w:szCs w:val="22"/>
              </w:rPr>
              <w:t xml:space="preserve">Policy). I agree </w:t>
            </w:r>
            <w:r>
              <w:rPr>
                <w:rFonts w:eastAsia="Noto Serif CJK SC" w:cs="Noto Sans Devanagari"/>
                <w:color w:val="auto"/>
                <w:kern w:val="0"/>
                <w:sz w:val="22"/>
                <w:szCs w:val="22"/>
                <w:lang w:val="ru-RU" w:eastAsia="zh-CN" w:bidi="hi-IN"/>
              </w:rPr>
              <w:t>to</w:t>
            </w:r>
            <w:r>
              <w:rPr>
                <w:sz w:val="22"/>
                <w:szCs w:val="22"/>
              </w:rPr>
              <w:t xml:space="preserve"> the </w:t>
            </w:r>
            <w:r>
              <w:rPr>
                <w:sz w:val="22"/>
                <w:szCs w:val="22"/>
              </w:rPr>
              <w:t>PD</w:t>
            </w:r>
            <w:r>
              <w:rPr>
                <w:sz w:val="22"/>
                <w:szCs w:val="22"/>
              </w:rPr>
              <w:t xml:space="preserve"> </w:t>
            </w:r>
            <w:r>
              <w:rPr>
                <w:sz w:val="22"/>
                <w:szCs w:val="22"/>
              </w:rPr>
              <w:t>P</w:t>
            </w:r>
            <w:r>
              <w:rPr>
                <w:sz w:val="22"/>
                <w:szCs w:val="22"/>
              </w:rPr>
              <w:t xml:space="preserve">rocessing </w:t>
            </w:r>
            <w:r>
              <w:rPr>
                <w:sz w:val="22"/>
                <w:szCs w:val="22"/>
              </w:rPr>
              <w:t>P</w:t>
            </w:r>
            <w:r>
              <w:rPr>
                <w:sz w:val="22"/>
                <w:szCs w:val="22"/>
              </w:rPr>
              <w:t>olicy.</w:t>
            </w:r>
          </w:p>
          <w:p>
            <w:pPr>
              <w:pStyle w:val="TableContents"/>
              <w:widowControl w:val="false"/>
              <w:jc w:val="both"/>
              <w:rPr>
                <w:sz w:val="22"/>
                <w:szCs w:val="22"/>
              </w:rPr>
            </w:pPr>
            <w:r>
              <w:rPr>
                <w:sz w:val="22"/>
                <w:szCs w:val="22"/>
              </w:rPr>
              <w:t xml:space="preserve">I authorize VyatSU to entrust the processing of personal data </w:t>
            </w:r>
            <w:r>
              <w:rPr>
                <w:sz w:val="22"/>
                <w:szCs w:val="22"/>
              </w:rPr>
              <w:t xml:space="preserve">of the Represented </w:t>
            </w:r>
            <w:r>
              <w:rPr>
                <w:sz w:val="22"/>
                <w:szCs w:val="22"/>
              </w:rPr>
              <w:t>to third parties, as well as transfer all the above personal data to third parties to achieve the goals specified in this consent.</w:t>
            </w:r>
          </w:p>
          <w:p>
            <w:pPr>
              <w:pStyle w:val="TableContents"/>
              <w:widowControl w:val="false"/>
              <w:jc w:val="both"/>
              <w:rPr>
                <w:sz w:val="22"/>
                <w:szCs w:val="22"/>
              </w:rPr>
            </w:pPr>
            <w:r>
              <w:rPr>
                <w:sz w:val="22"/>
                <w:szCs w:val="22"/>
              </w:rPr>
              <w:t xml:space="preserve">In the event of a change in the personal data of the </w:t>
            </w:r>
            <w:r>
              <w:rPr>
                <w:rFonts w:eastAsia="Noto Serif CJK SC" w:cs="Noto Sans Devanagari"/>
                <w:color w:val="auto"/>
                <w:kern w:val="0"/>
                <w:sz w:val="22"/>
                <w:szCs w:val="22"/>
                <w:lang w:val="ru-RU" w:eastAsia="zh-CN" w:bidi="hi-IN"/>
              </w:rPr>
              <w:t>Represented</w:t>
            </w:r>
            <w:r>
              <w:rPr>
                <w:sz w:val="22"/>
                <w:szCs w:val="22"/>
              </w:rPr>
              <w:t>, specified in this consent, I undertake to report this to VyatSU within ten days.</w:t>
            </w:r>
          </w:p>
          <w:p>
            <w:pPr>
              <w:pStyle w:val="TableContents"/>
              <w:widowControl w:val="false"/>
              <w:jc w:val="both"/>
              <w:rPr>
                <w:sz w:val="22"/>
                <w:szCs w:val="22"/>
              </w:rPr>
            </w:pPr>
            <w:r>
              <w:rPr>
                <w:sz w:val="22"/>
                <w:szCs w:val="22"/>
              </w:rPr>
              <w:t>This consent is valid from the day it is given until the day of revocation in writing sent to the postal address of VyatSU, or until the destruction or depersonalization of personal data.</w:t>
            </w:r>
          </w:p>
          <w:p>
            <w:pPr>
              <w:pStyle w:val="TableContents"/>
              <w:widowControl w:val="false"/>
              <w:jc w:val="both"/>
              <w:rPr>
                <w:sz w:val="22"/>
                <w:szCs w:val="22"/>
              </w:rPr>
            </w:pPr>
            <w:r>
              <w:rPr>
                <w:sz w:val="22"/>
                <w:szCs w:val="22"/>
              </w:rPr>
              <w:t>I am notified that in case of receiving my written application to revoke this consent to the processing of personal data, VyatSU, in order to comply with the requirements of the legislation of the Russian Federation, has the right to continue processing the personal data of the Submitted within the period and to the extent established by law.</w:t>
            </w:r>
          </w:p>
          <w:p>
            <w:pPr>
              <w:pStyle w:val="TableContents"/>
              <w:widowControl w:val="false"/>
              <w:jc w:val="both"/>
              <w:rPr>
                <w:sz w:val="22"/>
                <w:szCs w:val="22"/>
              </w:rPr>
            </w:pPr>
            <w:r>
              <w:rPr>
                <w:sz w:val="22"/>
                <w:szCs w:val="22"/>
              </w:rPr>
            </w:r>
          </w:p>
          <w:p>
            <w:pPr>
              <w:pStyle w:val="TableContents"/>
              <w:widowControl w:val="false"/>
              <w:jc w:val="both"/>
              <w:rPr>
                <w:sz w:val="22"/>
                <w:szCs w:val="22"/>
              </w:rPr>
            </w:pPr>
            <w:r>
              <w:rPr>
                <w:sz w:val="22"/>
                <w:szCs w:val="22"/>
              </w:rPr>
            </w:r>
          </w:p>
        </w:tc>
      </w:tr>
    </w:tbl>
    <w:p>
      <w:pPr>
        <w:pStyle w:val="LOnormal"/>
        <w:jc w:val="center"/>
        <w:rPr>
          <w:b/>
          <w:b/>
        </w:rPr>
      </w:pPr>
      <w:r>
        <w:rPr/>
      </w:r>
    </w:p>
    <w:sectPr>
      <w:headerReference w:type="default" r:id="rId2"/>
      <w:type w:val="nextPage"/>
      <w:pgSz w:w="11906" w:h="16838"/>
      <w:pgMar w:left="1080" w:right="1080" w:header="709" w:top="766" w:footer="0" w:bottom="567"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677" w:leader="none"/>
        <w:tab w:val="right" w:pos="9355"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PAGE </w:instrText>
    </w:r>
    <w:r>
      <w:rPr/>
      <w:fldChar w:fldCharType="separate"/>
    </w:r>
    <w:r>
      <w:rPr/>
      <w:t>3</w:t>
    </w:r>
    <w:r>
      <w:rPr/>
      <w:fldChar w:fldCharType="end"/>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Noto Sans Devanagari"/>
      <w:color w:val="auto"/>
      <w:kern w:val="0"/>
      <w:sz w:val="24"/>
      <w:szCs w:val="24"/>
      <w:lang w:val="ru-RU"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Noto Sans Devanagari"/>
      <w:color w:val="auto"/>
      <w:kern w:val="0"/>
      <w:sz w:val="24"/>
      <w:szCs w:val="24"/>
      <w:lang w:val="ru-RU"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LibreOffice/7.1.3.2$Linux_X86_64 LibreOffice_project/10$Build-2</Application>
  <AppVersion>15.0000</AppVersion>
  <Pages>3</Pages>
  <Words>1471</Words>
  <Characters>9161</Characters>
  <CharactersWithSpaces>10622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2021-07-05T09:55:38Z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